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14454D">
        <w:rPr>
          <w:b/>
          <w:noProof/>
          <w:sz w:val="24"/>
        </w:rPr>
        <w:t>1</w:t>
      </w:r>
      <w:r w:rsidR="00C82F96">
        <w:rPr>
          <w:b/>
          <w:noProof/>
          <w:sz w:val="24"/>
        </w:rPr>
        <w:t>-</w:t>
      </w:r>
      <w:r w:rsidR="00FA789E">
        <w:rPr>
          <w:b/>
          <w:noProof/>
          <w:sz w:val="24"/>
        </w:rPr>
        <w:t>e</w:t>
      </w:r>
      <w:r w:rsidRPr="007A171D">
        <w:rPr>
          <w:b/>
          <w:noProof/>
          <w:sz w:val="24"/>
        </w:rPr>
        <w:tab/>
      </w:r>
      <w:r w:rsidR="00331F34" w:rsidRPr="00331F34">
        <w:rPr>
          <w:b/>
          <w:noProof/>
          <w:sz w:val="24"/>
        </w:rPr>
        <w:t>R4-2118892</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4454D">
        <w:rPr>
          <w:rFonts w:eastAsia="宋体"/>
          <w:b/>
          <w:sz w:val="24"/>
          <w:szCs w:val="24"/>
          <w:lang w:eastAsia="zh-CN"/>
        </w:rPr>
        <w:t>1</w:t>
      </w:r>
      <w:r w:rsidR="00E46C43" w:rsidRPr="00F621D2">
        <w:rPr>
          <w:rFonts w:eastAsia="宋体"/>
          <w:b/>
          <w:sz w:val="24"/>
          <w:szCs w:val="24"/>
          <w:lang w:eastAsia="zh-CN"/>
        </w:rPr>
        <w:t>-</w:t>
      </w:r>
      <w:r w:rsidR="0014454D">
        <w:rPr>
          <w:rFonts w:eastAsia="宋体"/>
          <w:b/>
          <w:sz w:val="24"/>
          <w:szCs w:val="24"/>
          <w:lang w:eastAsia="zh-CN"/>
        </w:rPr>
        <w:t xml:space="preserve">12 </w:t>
      </w:r>
      <w:r w:rsidR="0014454D">
        <w:rPr>
          <w:rFonts w:eastAsia="宋体" w:hint="eastAsia"/>
          <w:b/>
          <w:sz w:val="24"/>
          <w:szCs w:val="24"/>
          <w:lang w:eastAsia="zh-CN"/>
        </w:rPr>
        <w:t>No</w:t>
      </w:r>
      <w:r w:rsidR="0014454D">
        <w:rPr>
          <w:rFonts w:eastAsia="宋体"/>
          <w:b/>
          <w:sz w:val="24"/>
          <w:szCs w:val="24"/>
          <w:lang w:eastAsia="zh-CN"/>
        </w:rPr>
        <w:t>v</w:t>
      </w:r>
      <w:r w:rsidR="00E46C43" w:rsidRPr="00F621D2">
        <w:rPr>
          <w:rFonts w:eastAsia="宋体"/>
          <w:b/>
          <w:sz w:val="24"/>
          <w:szCs w:val="24"/>
          <w:lang w:eastAsia="zh-CN"/>
        </w:rPr>
        <w:t>, 202</w:t>
      </w:r>
      <w:r w:rsidR="0014454D">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930518" w:rsidRPr="00930518">
        <w:rPr>
          <w:rFonts w:ascii="Arial" w:hAnsi="Arial" w:cs="Arial"/>
          <w:lang w:val="en-US"/>
        </w:rPr>
        <w:t>R17 FR1 RedCap REFSENS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31F34" w:rsidRPr="00331F34">
        <w:rPr>
          <w:rFonts w:ascii="Arial" w:hAnsi="Arial" w:cs="Arial"/>
          <w:b/>
          <w:lang w:val="en-US"/>
        </w:rPr>
        <w:t>8.20.2.1.2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592214" w:rsidRDefault="00F852F4" w:rsidP="00D90483">
      <w:pPr>
        <w:jc w:val="both"/>
        <w:rPr>
          <w:rFonts w:eastAsia="宋体"/>
          <w:lang w:eastAsia="zh-CN"/>
        </w:rPr>
      </w:pPr>
      <w:r>
        <w:rPr>
          <w:rFonts w:eastAsia="宋体" w:hint="eastAsia"/>
          <w:lang w:eastAsia="zh-CN"/>
        </w:rPr>
        <w:t>I</w:t>
      </w:r>
      <w:r>
        <w:rPr>
          <w:rFonts w:eastAsia="宋体"/>
          <w:lang w:eastAsia="zh-CN"/>
        </w:rPr>
        <w:t xml:space="preserve">n RAN4#101e, </w:t>
      </w:r>
      <w:r w:rsidR="00793AF3">
        <w:rPr>
          <w:rFonts w:eastAsia="宋体"/>
          <w:lang w:eastAsia="zh-CN"/>
        </w:rPr>
        <w:t xml:space="preserve">the sensitivity relaxation has been discuss for FD/HD FDD and TDD bands. The agreements are as below [1]. </w:t>
      </w:r>
      <w:r w:rsidR="006A124B">
        <w:rPr>
          <w:rFonts w:eastAsia="宋体"/>
          <w:lang w:eastAsia="zh-CN"/>
        </w:rPr>
        <w:t>This paper continue discuss on these issues.</w:t>
      </w:r>
    </w:p>
    <w:p w:rsidR="004A321B" w:rsidRDefault="004A321B" w:rsidP="00D90483">
      <w:pPr>
        <w:jc w:val="both"/>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21B" w:rsidRPr="00620E7B" w:rsidTr="00620E7B">
        <w:tc>
          <w:tcPr>
            <w:tcW w:w="10081" w:type="dxa"/>
            <w:shd w:val="clear" w:color="auto" w:fill="auto"/>
          </w:tcPr>
          <w:p w:rsidR="006022C0" w:rsidRPr="006022C0" w:rsidRDefault="006022C0" w:rsidP="006022C0">
            <w:pPr>
              <w:rPr>
                <w:color w:val="0070C0"/>
              </w:rPr>
            </w:pPr>
            <w:r w:rsidRPr="006022C0">
              <w:rPr>
                <w:lang w:eastAsia="zh-CN"/>
              </w:rPr>
              <w:t xml:space="preserve">Agreement: For REFSENS of 1Rx, </w:t>
            </w:r>
            <w:r w:rsidRPr="006022C0">
              <w:t>use the constant XdB gain relaxation based on 2Rx REFSENS</w:t>
            </w:r>
          </w:p>
          <w:p w:rsidR="006022C0" w:rsidRPr="006022C0" w:rsidRDefault="006022C0" w:rsidP="006022C0">
            <w:pPr>
              <w:pStyle w:val="af6"/>
              <w:widowControl/>
              <w:numPr>
                <w:ilvl w:val="0"/>
                <w:numId w:val="32"/>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FFS for X dB</w:t>
            </w:r>
          </w:p>
          <w:p w:rsidR="006022C0" w:rsidRPr="006022C0" w:rsidRDefault="006022C0" w:rsidP="006022C0">
            <w:pPr>
              <w:pStyle w:val="af6"/>
              <w:widowControl/>
              <w:numPr>
                <w:ilvl w:val="1"/>
                <w:numId w:val="32"/>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2.5dB for TDD</w:t>
            </w:r>
          </w:p>
          <w:p w:rsidR="006022C0" w:rsidRPr="006022C0" w:rsidRDefault="006022C0" w:rsidP="006022C0">
            <w:pPr>
              <w:pStyle w:val="af6"/>
              <w:widowControl/>
              <w:numPr>
                <w:ilvl w:val="1"/>
                <w:numId w:val="32"/>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FFS for FDD</w:t>
            </w:r>
          </w:p>
          <w:p w:rsidR="006022C0" w:rsidRPr="006022C0" w:rsidRDefault="006022C0" w:rsidP="006022C0">
            <w:pPr>
              <w:pStyle w:val="af6"/>
              <w:widowControl/>
              <w:numPr>
                <w:ilvl w:val="2"/>
                <w:numId w:val="32"/>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Option 1: 2.5dB</w:t>
            </w:r>
          </w:p>
          <w:p w:rsidR="006022C0" w:rsidRPr="006022C0" w:rsidRDefault="006022C0" w:rsidP="006022C0">
            <w:pPr>
              <w:pStyle w:val="af6"/>
              <w:widowControl/>
              <w:numPr>
                <w:ilvl w:val="2"/>
                <w:numId w:val="32"/>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Option 2: 3dB</w:t>
            </w:r>
          </w:p>
          <w:p w:rsidR="006022C0" w:rsidRPr="006022C0" w:rsidRDefault="006022C0" w:rsidP="006022C0">
            <w:pPr>
              <w:rPr>
                <w:lang w:eastAsia="zh-CN"/>
              </w:rPr>
            </w:pPr>
            <w:r w:rsidRPr="006022C0">
              <w:rPr>
                <w:lang w:eastAsia="zh-CN"/>
              </w:rPr>
              <w:t>Agreement: For RedCap requirements, focus on HD-FDD only mode</w:t>
            </w:r>
          </w:p>
          <w:p w:rsidR="006022C0" w:rsidRPr="006022C0" w:rsidRDefault="006022C0" w:rsidP="006022C0">
            <w:pPr>
              <w:pStyle w:val="af6"/>
              <w:widowControl/>
              <w:numPr>
                <w:ilvl w:val="0"/>
                <w:numId w:val="33"/>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FFS on dual mode, i.e., supporting both FDD and HD-FDD.</w:t>
            </w:r>
          </w:p>
          <w:p w:rsidR="006022C0" w:rsidRPr="006022C0" w:rsidRDefault="006022C0" w:rsidP="006022C0">
            <w:pPr>
              <w:rPr>
                <w:lang w:eastAsia="zh-CN"/>
              </w:rPr>
            </w:pPr>
            <w:r w:rsidRPr="006022C0">
              <w:rPr>
                <w:lang w:eastAsia="zh-CN"/>
              </w:rPr>
              <w:t>Agreement: For Rx RedCap UE in HD-FDD mode, relaxation of Y dB of 2Rx NR FDD band REFSENS</w:t>
            </w:r>
          </w:p>
          <w:p w:rsidR="00D20630" w:rsidRPr="006022C0" w:rsidRDefault="006022C0" w:rsidP="006022C0">
            <w:pPr>
              <w:pStyle w:val="af6"/>
              <w:widowControl/>
              <w:numPr>
                <w:ilvl w:val="0"/>
                <w:numId w:val="33"/>
              </w:numPr>
              <w:wordWrap/>
              <w:overflowPunct w:val="0"/>
              <w:adjustRightInd w:val="0"/>
              <w:spacing w:after="180"/>
              <w:ind w:leftChars="0"/>
              <w:contextualSpacing/>
              <w:jc w:val="left"/>
              <w:textAlignment w:val="baseline"/>
              <w:rPr>
                <w:rFonts w:ascii="Times New Roman" w:hAnsi="Times New Roman"/>
                <w:lang w:eastAsia="zh-CN"/>
              </w:rPr>
            </w:pPr>
            <w:r w:rsidRPr="006022C0">
              <w:rPr>
                <w:rFonts w:ascii="Times New Roman" w:eastAsia="宋体" w:hAnsi="Times New Roman"/>
                <w:lang w:eastAsia="zh-CN"/>
              </w:rPr>
              <w:t>Y value should be less than 2.5dB.</w:t>
            </w:r>
          </w:p>
        </w:tc>
      </w:tr>
    </w:tbl>
    <w:p w:rsidR="00D90483" w:rsidRPr="00CC578A" w:rsidRDefault="00D90483" w:rsidP="00D90483">
      <w:pPr>
        <w:jc w:val="both"/>
        <w:rPr>
          <w:rFonts w:eastAsia="宋体"/>
          <w:lang w:eastAsia="zh-CN"/>
        </w:rPr>
      </w:pPr>
    </w:p>
    <w:p w:rsidR="00D90483" w:rsidRDefault="00D90483" w:rsidP="00D90483">
      <w:pPr>
        <w:pStyle w:val="aff"/>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D5032" w:rsidRDefault="00793AF3" w:rsidP="00DC1C94">
      <w:pPr>
        <w:tabs>
          <w:tab w:val="left" w:pos="5103"/>
        </w:tabs>
        <w:spacing w:after="120"/>
        <w:jc w:val="both"/>
        <w:rPr>
          <w:rFonts w:eastAsia="等线"/>
          <w:lang w:val="en-US" w:eastAsia="zh-CN"/>
        </w:rPr>
      </w:pPr>
      <w:r>
        <w:rPr>
          <w:rFonts w:eastAsia="等线" w:hint="eastAsia"/>
          <w:lang w:val="en-US" w:eastAsia="zh-CN"/>
        </w:rPr>
        <w:t>T</w:t>
      </w:r>
      <w:r>
        <w:rPr>
          <w:rFonts w:eastAsia="等线"/>
          <w:lang w:val="en-US" w:eastAsia="zh-CN"/>
        </w:rPr>
        <w:t xml:space="preserve">he </w:t>
      </w:r>
      <w:r w:rsidR="006A124B">
        <w:rPr>
          <w:rFonts w:eastAsia="等线"/>
          <w:lang w:val="en-US" w:eastAsia="zh-CN"/>
        </w:rPr>
        <w:t>REFSENS difference between 1Rx and 2Rx has been analyzed in several papers last meeting, and LTE Cat1-bis was referred.</w:t>
      </w:r>
      <w:r w:rsidR="00E05174">
        <w:rPr>
          <w:rFonts w:eastAsia="等线"/>
          <w:lang w:val="en-US" w:eastAsia="zh-CN"/>
        </w:rPr>
        <w:t xml:space="preserve"> The table below summarizes the difference for different CBW</w:t>
      </w:r>
      <w:r w:rsidR="00210D37">
        <w:rPr>
          <w:rFonts w:eastAsia="等线"/>
          <w:lang w:val="en-US" w:eastAsia="zh-CN"/>
        </w:rPr>
        <w:t>, although not all the bands follow this constant difference under the same CBW</w:t>
      </w:r>
      <w:r w:rsidR="00E05174">
        <w:rPr>
          <w:rFonts w:eastAsia="等线"/>
          <w:lang w:val="en-US" w:eastAsia="zh-CN"/>
        </w:rPr>
        <w:t xml:space="preserve">. It can be seen that for FDD band except the </w:t>
      </w:r>
      <w:r w:rsidR="00210D37">
        <w:rPr>
          <w:rFonts w:eastAsia="等线"/>
          <w:lang w:val="en-US" w:eastAsia="zh-CN"/>
        </w:rPr>
        <w:t>5MHz all should allow 3dB relaxation.</w:t>
      </w:r>
    </w:p>
    <w:tbl>
      <w:tblPr>
        <w:tblW w:w="6760" w:type="dxa"/>
        <w:jc w:val="center"/>
        <w:tblLook w:val="04A0" w:firstRow="1" w:lastRow="0" w:firstColumn="1" w:lastColumn="0" w:noHBand="0" w:noVBand="1"/>
      </w:tblPr>
      <w:tblGrid>
        <w:gridCol w:w="1560"/>
        <w:gridCol w:w="1141"/>
        <w:gridCol w:w="1353"/>
        <w:gridCol w:w="1353"/>
        <w:gridCol w:w="1353"/>
      </w:tblGrid>
      <w:tr w:rsidR="00E05174" w:rsidRPr="00B039E3" w:rsidTr="006A0A0E">
        <w:trPr>
          <w:trHeight w:val="259"/>
          <w:jc w:val="center"/>
        </w:trPr>
        <w:tc>
          <w:tcPr>
            <w:tcW w:w="1560" w:type="dxa"/>
            <w:vMerge w:val="restart"/>
            <w:tcBorders>
              <w:top w:val="single" w:sz="8" w:space="0" w:color="auto"/>
              <w:left w:val="single" w:sz="8" w:space="0" w:color="auto"/>
              <w:bottom w:val="single" w:sz="4" w:space="0" w:color="000000"/>
              <w:right w:val="single" w:sz="4" w:space="0" w:color="auto"/>
            </w:tcBorders>
            <w:noWrap/>
            <w:vAlign w:val="center"/>
          </w:tcPr>
          <w:p w:rsidR="00E05174" w:rsidRDefault="00E05174" w:rsidP="006A0A0E">
            <w:pPr>
              <w:jc w:val="center"/>
              <w:rPr>
                <w:rFonts w:ascii="Calibri" w:hAnsi="Calibri"/>
                <w:color w:val="000000"/>
                <w:lang w:eastAsia="zh-TW"/>
              </w:rPr>
            </w:pPr>
            <w:r>
              <w:rPr>
                <w:rFonts w:ascii="Calibri" w:hAnsi="Calibri"/>
                <w:color w:val="000000"/>
              </w:rPr>
              <w:t>Duplex Mode</w:t>
            </w:r>
          </w:p>
        </w:tc>
        <w:tc>
          <w:tcPr>
            <w:tcW w:w="5200" w:type="dxa"/>
            <w:gridSpan w:val="4"/>
            <w:tcBorders>
              <w:top w:val="single" w:sz="8" w:space="0" w:color="auto"/>
              <w:left w:val="nil"/>
              <w:bottom w:val="single" w:sz="4" w:space="0" w:color="auto"/>
              <w:right w:val="single" w:sz="8" w:space="0" w:color="auto"/>
            </w:tcBorders>
            <w:noWrap/>
            <w:vAlign w:val="center"/>
          </w:tcPr>
          <w:p w:rsidR="00E05174" w:rsidRDefault="00E05174" w:rsidP="006A0A0E">
            <w:pPr>
              <w:jc w:val="center"/>
              <w:rPr>
                <w:rFonts w:ascii="Calibri" w:hAnsi="Calibri"/>
                <w:color w:val="000000"/>
              </w:rPr>
            </w:pPr>
            <w:r>
              <w:rPr>
                <w:rFonts w:ascii="Calibri" w:hAnsi="Calibri"/>
                <w:color w:val="000000"/>
              </w:rPr>
              <w:t>1Rx and 2Rx REFSENS difference (dB)</w:t>
            </w:r>
          </w:p>
        </w:tc>
      </w:tr>
      <w:tr w:rsidR="00E05174" w:rsidTr="006A0A0E">
        <w:trPr>
          <w:trHeight w:val="259"/>
          <w:jc w:val="center"/>
        </w:trPr>
        <w:tc>
          <w:tcPr>
            <w:tcW w:w="0" w:type="auto"/>
            <w:vMerge/>
            <w:tcBorders>
              <w:top w:val="single" w:sz="8" w:space="0" w:color="auto"/>
              <w:left w:val="single" w:sz="8" w:space="0" w:color="auto"/>
              <w:bottom w:val="single" w:sz="4" w:space="0" w:color="000000"/>
              <w:right w:val="single" w:sz="4" w:space="0" w:color="auto"/>
            </w:tcBorders>
            <w:vAlign w:val="center"/>
          </w:tcPr>
          <w:p w:rsidR="00E05174" w:rsidRDefault="00E05174" w:rsidP="006A0A0E">
            <w:pPr>
              <w:rPr>
                <w:rFonts w:ascii="Calibri" w:hAnsi="Calibri"/>
                <w:color w:val="000000"/>
                <w:lang w:eastAsia="zh-TW"/>
              </w:rPr>
            </w:pPr>
          </w:p>
        </w:tc>
        <w:tc>
          <w:tcPr>
            <w:tcW w:w="1141"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5 MHz</w:t>
            </w:r>
          </w:p>
        </w:tc>
        <w:tc>
          <w:tcPr>
            <w:tcW w:w="1353"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10 MHz</w:t>
            </w:r>
          </w:p>
        </w:tc>
        <w:tc>
          <w:tcPr>
            <w:tcW w:w="1353"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15 MHz</w:t>
            </w:r>
          </w:p>
        </w:tc>
        <w:tc>
          <w:tcPr>
            <w:tcW w:w="1353" w:type="dxa"/>
            <w:tcBorders>
              <w:top w:val="nil"/>
              <w:left w:val="nil"/>
              <w:bottom w:val="single" w:sz="4" w:space="0" w:color="auto"/>
              <w:right w:val="single" w:sz="8" w:space="0" w:color="auto"/>
            </w:tcBorders>
            <w:noWrap/>
            <w:vAlign w:val="center"/>
          </w:tcPr>
          <w:p w:rsidR="00E05174" w:rsidRDefault="00E05174" w:rsidP="006A0A0E">
            <w:pPr>
              <w:jc w:val="center"/>
              <w:rPr>
                <w:rFonts w:ascii="Calibri" w:hAnsi="Calibri"/>
                <w:color w:val="000000"/>
              </w:rPr>
            </w:pPr>
            <w:r>
              <w:rPr>
                <w:rFonts w:ascii="Calibri" w:hAnsi="Calibri"/>
                <w:color w:val="000000"/>
              </w:rPr>
              <w:t>20 MHz</w:t>
            </w:r>
          </w:p>
        </w:tc>
      </w:tr>
      <w:tr w:rsidR="00E05174" w:rsidTr="006A0A0E">
        <w:trPr>
          <w:trHeight w:val="259"/>
          <w:jc w:val="center"/>
        </w:trPr>
        <w:tc>
          <w:tcPr>
            <w:tcW w:w="1560" w:type="dxa"/>
            <w:tcBorders>
              <w:top w:val="nil"/>
              <w:left w:val="single" w:sz="8" w:space="0" w:color="auto"/>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FDD</w:t>
            </w:r>
          </w:p>
        </w:tc>
        <w:tc>
          <w:tcPr>
            <w:tcW w:w="1141"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2.5</w:t>
            </w:r>
          </w:p>
        </w:tc>
        <w:tc>
          <w:tcPr>
            <w:tcW w:w="1353"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3</w:t>
            </w:r>
          </w:p>
        </w:tc>
        <w:tc>
          <w:tcPr>
            <w:tcW w:w="1353" w:type="dxa"/>
            <w:tcBorders>
              <w:top w:val="nil"/>
              <w:left w:val="nil"/>
              <w:bottom w:val="single" w:sz="4"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3</w:t>
            </w:r>
          </w:p>
        </w:tc>
        <w:tc>
          <w:tcPr>
            <w:tcW w:w="1353" w:type="dxa"/>
            <w:tcBorders>
              <w:top w:val="nil"/>
              <w:left w:val="nil"/>
              <w:bottom w:val="single" w:sz="4" w:space="0" w:color="auto"/>
              <w:right w:val="single" w:sz="8" w:space="0" w:color="auto"/>
            </w:tcBorders>
            <w:noWrap/>
            <w:vAlign w:val="center"/>
          </w:tcPr>
          <w:p w:rsidR="00E05174" w:rsidRDefault="00E05174" w:rsidP="006A0A0E">
            <w:pPr>
              <w:jc w:val="center"/>
              <w:rPr>
                <w:rFonts w:ascii="Calibri" w:hAnsi="Calibri"/>
                <w:color w:val="000000"/>
              </w:rPr>
            </w:pPr>
            <w:r>
              <w:rPr>
                <w:rFonts w:ascii="Calibri" w:hAnsi="Calibri"/>
                <w:color w:val="000000"/>
              </w:rPr>
              <w:t>3</w:t>
            </w:r>
          </w:p>
        </w:tc>
      </w:tr>
      <w:tr w:rsidR="00E05174" w:rsidTr="006A0A0E">
        <w:trPr>
          <w:trHeight w:val="259"/>
          <w:jc w:val="center"/>
        </w:trPr>
        <w:tc>
          <w:tcPr>
            <w:tcW w:w="1560" w:type="dxa"/>
            <w:tcBorders>
              <w:top w:val="nil"/>
              <w:left w:val="single" w:sz="8" w:space="0" w:color="auto"/>
              <w:bottom w:val="single" w:sz="8"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TDD</w:t>
            </w:r>
          </w:p>
        </w:tc>
        <w:tc>
          <w:tcPr>
            <w:tcW w:w="1141" w:type="dxa"/>
            <w:tcBorders>
              <w:top w:val="nil"/>
              <w:left w:val="nil"/>
              <w:bottom w:val="single" w:sz="8"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4" w:space="0" w:color="auto"/>
            </w:tcBorders>
            <w:noWrap/>
            <w:vAlign w:val="center"/>
          </w:tcPr>
          <w:p w:rsidR="00E05174" w:rsidRDefault="00E05174" w:rsidP="006A0A0E">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8" w:space="0" w:color="auto"/>
            </w:tcBorders>
            <w:noWrap/>
            <w:vAlign w:val="center"/>
          </w:tcPr>
          <w:p w:rsidR="00E05174" w:rsidRDefault="00E05174" w:rsidP="006A0A0E">
            <w:pPr>
              <w:jc w:val="center"/>
              <w:rPr>
                <w:rFonts w:ascii="Calibri" w:hAnsi="Calibri"/>
                <w:color w:val="000000"/>
              </w:rPr>
            </w:pPr>
            <w:r>
              <w:rPr>
                <w:rFonts w:ascii="Calibri" w:hAnsi="Calibri"/>
                <w:color w:val="000000"/>
              </w:rPr>
              <w:t>2.5</w:t>
            </w:r>
          </w:p>
        </w:tc>
      </w:tr>
    </w:tbl>
    <w:p w:rsidR="00210D37" w:rsidRDefault="00210D37" w:rsidP="00210D37">
      <w:pPr>
        <w:tabs>
          <w:tab w:val="left" w:pos="5103"/>
        </w:tabs>
        <w:rPr>
          <w:rFonts w:eastAsia="等线"/>
          <w:lang w:val="en-US" w:eastAsia="zh-CN"/>
        </w:rPr>
      </w:pPr>
    </w:p>
    <w:p w:rsidR="00E05174" w:rsidRDefault="00210D37" w:rsidP="00DC1C94">
      <w:pPr>
        <w:tabs>
          <w:tab w:val="left" w:pos="5103"/>
        </w:tabs>
        <w:spacing w:after="120"/>
        <w:jc w:val="both"/>
        <w:rPr>
          <w:rFonts w:eastAsia="等线"/>
          <w:lang w:val="en-US" w:eastAsia="zh-CN"/>
        </w:rPr>
      </w:pPr>
      <w:r>
        <w:rPr>
          <w:rFonts w:eastAsia="等线" w:hint="eastAsia"/>
          <w:lang w:val="en-US" w:eastAsia="zh-CN"/>
        </w:rPr>
        <w:t>F</w:t>
      </w:r>
      <w:r>
        <w:rPr>
          <w:rFonts w:eastAsia="等线"/>
          <w:lang w:val="en-US" w:eastAsia="zh-CN"/>
        </w:rPr>
        <w:t xml:space="preserve">or the two options in last meeting, 2.5dB or 3dB. Our preference is to keep spec simple and </w:t>
      </w:r>
      <w:r w:rsidR="00486B31">
        <w:rPr>
          <w:rFonts w:eastAsia="等线"/>
          <w:lang w:val="en-US" w:eastAsia="zh-CN"/>
        </w:rPr>
        <w:t>allow 3dB constant relaxation. If not agreeable, then keep same as CAT1-bis is also acceptable.</w:t>
      </w:r>
    </w:p>
    <w:p w:rsidR="00FC5667" w:rsidRDefault="00581D0F" w:rsidP="00581D0F">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FC5667">
        <w:rPr>
          <w:rFonts w:eastAsia="等线"/>
          <w:b/>
          <w:i/>
          <w:lang w:val="en-US" w:eastAsia="zh-CN"/>
        </w:rPr>
        <w:t xml:space="preserve"> </w:t>
      </w:r>
      <w:r>
        <w:rPr>
          <w:rFonts w:eastAsia="等线"/>
          <w:b/>
          <w:i/>
          <w:lang w:val="en-US" w:eastAsia="zh-CN"/>
        </w:rPr>
        <w:t xml:space="preserve"> </w:t>
      </w:r>
      <w:r w:rsidR="009A6025">
        <w:rPr>
          <w:rFonts w:eastAsia="等线"/>
          <w:b/>
          <w:i/>
          <w:lang w:val="en-US" w:eastAsia="zh-CN"/>
        </w:rPr>
        <w:t>Take</w:t>
      </w:r>
      <w:r w:rsidR="00486B31" w:rsidRPr="00486B31">
        <w:rPr>
          <w:rFonts w:eastAsia="等线"/>
          <w:b/>
          <w:i/>
          <w:lang w:val="en-US" w:eastAsia="zh-CN"/>
        </w:rPr>
        <w:t xml:space="preserve"> 3dB constant relaxation</w:t>
      </w:r>
      <w:r w:rsidR="009A6025">
        <w:rPr>
          <w:rFonts w:eastAsia="等线"/>
          <w:b/>
          <w:i/>
          <w:lang w:val="en-US" w:eastAsia="zh-CN"/>
        </w:rPr>
        <w:t xml:space="preserve"> for 1Rx compare to 2Rx.</w:t>
      </w:r>
    </w:p>
    <w:p w:rsidR="00862AD1" w:rsidRDefault="00862AD1" w:rsidP="00105511">
      <w:pPr>
        <w:tabs>
          <w:tab w:val="left" w:pos="5103"/>
        </w:tabs>
        <w:spacing w:after="120"/>
        <w:rPr>
          <w:rFonts w:eastAsia="等线"/>
          <w:lang w:val="en-US" w:eastAsia="zh-CN"/>
        </w:rPr>
      </w:pPr>
    </w:p>
    <w:p w:rsidR="007D077C" w:rsidRDefault="007D077C" w:rsidP="00DC1C94">
      <w:pPr>
        <w:tabs>
          <w:tab w:val="left" w:pos="5103"/>
        </w:tabs>
        <w:spacing w:after="120"/>
        <w:jc w:val="both"/>
        <w:rPr>
          <w:rFonts w:eastAsia="等线"/>
          <w:lang w:val="en-US" w:eastAsia="zh-CN"/>
        </w:rPr>
      </w:pPr>
      <w:r>
        <w:rPr>
          <w:rFonts w:eastAsia="等线" w:hint="eastAsia"/>
          <w:lang w:val="en-US" w:eastAsia="zh-CN"/>
        </w:rPr>
        <w:t>F</w:t>
      </w:r>
      <w:r>
        <w:rPr>
          <w:rFonts w:eastAsia="等线"/>
          <w:lang w:val="en-US" w:eastAsia="zh-CN"/>
        </w:rPr>
        <w:t>or the HD-FDD, FD-FDD and TDD modes</w:t>
      </w:r>
      <w:r>
        <w:rPr>
          <w:rFonts w:eastAsia="等线" w:hint="eastAsia"/>
          <w:lang w:val="en-US" w:eastAsia="zh-CN"/>
        </w:rPr>
        <w:t>.</w:t>
      </w:r>
      <w:r>
        <w:rPr>
          <w:rFonts w:eastAsia="等线"/>
          <w:lang w:val="en-US" w:eastAsia="zh-CN"/>
        </w:rPr>
        <w:t xml:space="preserve"> They are all included in the WID. And requirements for them should be defined. </w:t>
      </w:r>
      <w:r w:rsidR="00D513E1">
        <w:rPr>
          <w:rFonts w:eastAsia="等线"/>
          <w:lang w:val="en-US" w:eastAsia="zh-CN"/>
        </w:rPr>
        <w:t>One issue discussed in last meeting is how to handle the UEs which only support HD-FDD, or both HD-FDD and FD-FDD and whether UE capabilities are needed to distinguish the different requirements to be met.</w:t>
      </w:r>
    </w:p>
    <w:p w:rsidR="007D077C" w:rsidRDefault="007D077C" w:rsidP="00105511">
      <w:pPr>
        <w:tabs>
          <w:tab w:val="left" w:pos="5103"/>
        </w:tabs>
        <w:spacing w:after="120"/>
        <w:rPr>
          <w:rFonts w:eastAsia="等线"/>
          <w:lang w:val="en-US" w:eastAsia="zh-CN"/>
        </w:rPr>
      </w:pPr>
      <w:r>
        <w:rPr>
          <w:noProof/>
          <w:lang w:val="en-US" w:eastAsia="zh-CN"/>
        </w:rPr>
        <w:drawing>
          <wp:inline distT="0" distB="0" distL="0" distR="0" wp14:anchorId="7E97AC93" wp14:editId="43B4CAA7">
            <wp:extent cx="5676900" cy="608260"/>
            <wp:effectExtent l="114300" t="76200" r="114300" b="781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6313" cy="612483"/>
                    </a:xfrm>
                    <a:prstGeom prst="rect">
                      <a:avLst/>
                    </a:prstGeom>
                    <a:effectLst>
                      <a:outerShdw blurRad="63500" sx="102000" sy="102000" algn="ctr" rotWithShape="0">
                        <a:prstClr val="black">
                          <a:alpha val="40000"/>
                        </a:prstClr>
                      </a:outerShdw>
                    </a:effectLst>
                  </pic:spPr>
                </pic:pic>
              </a:graphicData>
            </a:graphic>
          </wp:inline>
        </w:drawing>
      </w:r>
    </w:p>
    <w:p w:rsidR="003D6AF4" w:rsidRDefault="003D6AF4" w:rsidP="00DC1C94">
      <w:pPr>
        <w:tabs>
          <w:tab w:val="left" w:pos="5103"/>
        </w:tabs>
        <w:spacing w:after="120"/>
        <w:jc w:val="both"/>
        <w:rPr>
          <w:rFonts w:eastAsia="等线"/>
          <w:lang w:val="en-US" w:eastAsia="zh-CN"/>
        </w:rPr>
      </w:pPr>
      <w:r>
        <w:rPr>
          <w:rFonts w:eastAsia="等线" w:hint="eastAsia"/>
          <w:lang w:val="en-US" w:eastAsia="zh-CN"/>
        </w:rPr>
        <w:t>F</w:t>
      </w:r>
      <w:r>
        <w:rPr>
          <w:rFonts w:eastAsia="等线"/>
          <w:lang w:val="en-US" w:eastAsia="zh-CN"/>
        </w:rPr>
        <w:t>rom UE architecture perspective, FD-FDD UE can also support HD-FDD, and whether it works under FD-FDD or HD-FDD actually rely on NW scheduling. It should be clear that for UE supporting both FD-FDD and HD-FDD modes, actually it is implemented with duplexer based architecture i.e.</w:t>
      </w:r>
      <w:r w:rsidR="00CE464D">
        <w:rPr>
          <w:rFonts w:eastAsia="等线"/>
          <w:lang w:val="en-US" w:eastAsia="zh-CN"/>
        </w:rPr>
        <w:t xml:space="preserve"> </w:t>
      </w:r>
      <w:r>
        <w:rPr>
          <w:rFonts w:eastAsia="等线"/>
          <w:lang w:val="en-US" w:eastAsia="zh-CN"/>
        </w:rPr>
        <w:t xml:space="preserve">fundamentally </w:t>
      </w:r>
      <w:r w:rsidR="00CE464D">
        <w:rPr>
          <w:rFonts w:eastAsia="等线"/>
          <w:lang w:val="en-US" w:eastAsia="zh-CN"/>
        </w:rPr>
        <w:t>it is an FD-FDD UE.</w:t>
      </w:r>
      <w:r w:rsidR="005A4C9F">
        <w:rPr>
          <w:rFonts w:eastAsia="等线"/>
          <w:lang w:val="en-US" w:eastAsia="zh-CN"/>
        </w:rPr>
        <w:t xml:space="preserve"> Thus, the FD-FDD requirements should be applied.</w:t>
      </w:r>
    </w:p>
    <w:p w:rsidR="000F2749" w:rsidRDefault="000F2749" w:rsidP="00190D25">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sidR="00CE464D">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CE464D" w:rsidRPr="00CE464D">
        <w:rPr>
          <w:rFonts w:eastAsia="等线"/>
          <w:b/>
          <w:i/>
          <w:lang w:val="en-US" w:eastAsia="zh-CN"/>
        </w:rPr>
        <w:t>UE supporting both FD-FDD and HD-FDD modes</w:t>
      </w:r>
      <w:r w:rsidR="00CE464D">
        <w:rPr>
          <w:rFonts w:eastAsia="等线"/>
          <w:b/>
          <w:i/>
          <w:lang w:val="en-US" w:eastAsia="zh-CN"/>
        </w:rPr>
        <w:t xml:space="preserve"> </w:t>
      </w:r>
      <w:r w:rsidR="00CE464D" w:rsidRPr="00CE464D">
        <w:rPr>
          <w:rFonts w:eastAsia="等线"/>
          <w:b/>
          <w:i/>
          <w:lang w:val="en-US" w:eastAsia="zh-CN"/>
        </w:rPr>
        <w:t>is implemented with duplexer based architecture</w:t>
      </w:r>
      <w:r w:rsidR="00CE464D">
        <w:rPr>
          <w:rFonts w:eastAsia="等线"/>
          <w:b/>
          <w:i/>
          <w:lang w:val="en-US" w:eastAsia="zh-CN"/>
        </w:rPr>
        <w:t xml:space="preserve"> and FD-FDD requirements apply.</w:t>
      </w:r>
    </w:p>
    <w:p w:rsidR="00DC1C94" w:rsidRDefault="00DC1C94" w:rsidP="00190D25">
      <w:pPr>
        <w:ind w:left="1418" w:hangingChars="709" w:hanging="1418"/>
        <w:rPr>
          <w:rFonts w:eastAsia="等线"/>
          <w:lang w:val="en-US" w:eastAsia="zh-CN"/>
        </w:rPr>
      </w:pPr>
    </w:p>
    <w:p w:rsidR="00985A66" w:rsidRDefault="00985A66" w:rsidP="00985A66">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FD-FDD requirements is applicable </w:t>
      </w:r>
      <w:r>
        <w:rPr>
          <w:rFonts w:eastAsia="等线" w:hint="eastAsia"/>
          <w:b/>
          <w:i/>
          <w:lang w:val="en-US" w:eastAsia="zh-CN"/>
        </w:rPr>
        <w:t>t</w:t>
      </w:r>
      <w:r>
        <w:rPr>
          <w:rFonts w:eastAsia="等线"/>
          <w:b/>
          <w:i/>
          <w:lang w:val="en-US" w:eastAsia="zh-CN"/>
        </w:rPr>
        <w:t xml:space="preserve">o UE supporting both </w:t>
      </w:r>
      <w:r w:rsidRPr="00CE464D">
        <w:rPr>
          <w:rFonts w:eastAsia="等线"/>
          <w:b/>
          <w:i/>
          <w:lang w:val="en-US" w:eastAsia="zh-CN"/>
        </w:rPr>
        <w:t>FD-FDD and HD-FDD modes</w:t>
      </w:r>
      <w:r w:rsidRPr="008279F9">
        <w:rPr>
          <w:rFonts w:eastAsia="等线"/>
          <w:b/>
          <w:i/>
          <w:lang w:val="en-US" w:eastAsia="zh-CN"/>
        </w:rPr>
        <w:t>.</w:t>
      </w:r>
    </w:p>
    <w:p w:rsidR="00985A66" w:rsidRPr="00985A66" w:rsidRDefault="00985A66" w:rsidP="00190D25">
      <w:pPr>
        <w:ind w:left="1418" w:hangingChars="709" w:hanging="1418"/>
        <w:rPr>
          <w:rFonts w:eastAsia="等线"/>
          <w:lang w:val="en-US" w:eastAsia="zh-CN"/>
        </w:rPr>
      </w:pPr>
    </w:p>
    <w:p w:rsidR="00190D25" w:rsidRDefault="00DC1C94" w:rsidP="00FD754B">
      <w:pPr>
        <w:rPr>
          <w:rFonts w:eastAsia="等线"/>
          <w:lang w:val="en-US" w:eastAsia="zh-CN"/>
        </w:rPr>
      </w:pPr>
      <w:r>
        <w:rPr>
          <w:rFonts w:eastAsia="等线" w:hint="eastAsia"/>
          <w:lang w:val="en-US" w:eastAsia="zh-CN"/>
        </w:rPr>
        <w:t>F</w:t>
      </w:r>
      <w:r>
        <w:rPr>
          <w:rFonts w:eastAsia="等线"/>
          <w:lang w:val="en-US" w:eastAsia="zh-CN"/>
        </w:rPr>
        <w:t xml:space="preserve">rom signaling perspective, what needs to be defined is only the </w:t>
      </w:r>
      <w:r w:rsidR="00FD754B">
        <w:rPr>
          <w:rFonts w:eastAsia="等线"/>
          <w:lang w:val="en-US" w:eastAsia="zh-CN"/>
        </w:rPr>
        <w:t>signaling</w:t>
      </w:r>
      <w:r>
        <w:rPr>
          <w:rFonts w:eastAsia="等线"/>
          <w:lang w:val="en-US" w:eastAsia="zh-CN"/>
        </w:rPr>
        <w:t xml:space="preserve"> to distinguish </w:t>
      </w:r>
      <w:r w:rsidR="00FD754B">
        <w:rPr>
          <w:rFonts w:eastAsia="等线"/>
          <w:lang w:val="en-US" w:eastAsia="zh-CN"/>
        </w:rPr>
        <w:t xml:space="preserve">UE with </w:t>
      </w:r>
      <w:r>
        <w:rPr>
          <w:rFonts w:eastAsia="等线"/>
          <w:lang w:val="en-US" w:eastAsia="zh-CN"/>
        </w:rPr>
        <w:t xml:space="preserve">FD-FDD </w:t>
      </w:r>
      <w:r w:rsidR="00FD754B">
        <w:rPr>
          <w:rFonts w:eastAsia="等线"/>
          <w:lang w:val="en-US" w:eastAsia="zh-CN"/>
        </w:rPr>
        <w:t>capability and UE with HD-FDD only capability.</w:t>
      </w:r>
    </w:p>
    <w:p w:rsidR="008279F9" w:rsidRDefault="008279F9" w:rsidP="00FD754B">
      <w:pPr>
        <w:rPr>
          <w:rFonts w:eastAsia="等线"/>
          <w:lang w:val="en-US" w:eastAsia="zh-CN"/>
        </w:rPr>
      </w:pPr>
    </w:p>
    <w:p w:rsidR="008279F9" w:rsidRDefault="008279F9" w:rsidP="008D5E6A">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sidR="00985A66">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Only define signaling to </w:t>
      </w:r>
      <w:r w:rsidRPr="008279F9">
        <w:rPr>
          <w:rFonts w:eastAsia="等线"/>
          <w:b/>
          <w:i/>
          <w:lang w:val="en-US" w:eastAsia="zh-CN"/>
        </w:rPr>
        <w:t>distinguish UE with FD-FDD capability and UE with HD-FDD only capability</w:t>
      </w:r>
      <w:r w:rsidR="00AF2160">
        <w:rPr>
          <w:rFonts w:eastAsia="等线"/>
          <w:b/>
          <w:i/>
          <w:lang w:val="en-US" w:eastAsia="zh-CN"/>
        </w:rPr>
        <w:t>, for example HD-FDD only mode indication</w:t>
      </w:r>
      <w:r w:rsidRPr="008279F9">
        <w:rPr>
          <w:rFonts w:eastAsia="等线"/>
          <w:b/>
          <w:i/>
          <w:lang w:val="en-US" w:eastAsia="zh-CN"/>
        </w:rPr>
        <w:t>.</w:t>
      </w:r>
    </w:p>
    <w:p w:rsidR="008279F9" w:rsidRPr="008279F9" w:rsidRDefault="008279F9" w:rsidP="00FD754B">
      <w:pPr>
        <w:rPr>
          <w:rFonts w:eastAsia="等线"/>
          <w:lang w:val="en-US" w:eastAsia="zh-CN"/>
        </w:rPr>
      </w:pPr>
    </w:p>
    <w:p w:rsidR="000D2382" w:rsidRPr="00985A66" w:rsidRDefault="00692ACE" w:rsidP="007305F4">
      <w:pPr>
        <w:tabs>
          <w:tab w:val="left" w:pos="5103"/>
        </w:tabs>
        <w:spacing w:after="120"/>
        <w:rPr>
          <w:rFonts w:eastAsia="等线"/>
          <w:lang w:val="en-US" w:eastAsia="zh-CN"/>
        </w:rPr>
      </w:pPr>
      <w:r>
        <w:rPr>
          <w:rFonts w:eastAsia="等线" w:hint="eastAsia"/>
          <w:lang w:val="en-US" w:eastAsia="zh-CN"/>
        </w:rPr>
        <w:t>F</w:t>
      </w:r>
      <w:r>
        <w:rPr>
          <w:rFonts w:eastAsia="等线"/>
          <w:lang w:val="en-US" w:eastAsia="zh-CN"/>
        </w:rPr>
        <w:t xml:space="preserve">or the HD-FDD relaxation values, it was agreed that it should be a value less than 2.5dB. </w:t>
      </w:r>
      <w:r w:rsidR="000C05FD">
        <w:rPr>
          <w:rFonts w:eastAsia="等线"/>
          <w:lang w:val="en-US" w:eastAsia="zh-CN"/>
        </w:rPr>
        <w:t>F</w:t>
      </w:r>
      <w:r>
        <w:rPr>
          <w:rFonts w:eastAsia="等线"/>
          <w:lang w:val="en-US" w:eastAsia="zh-CN"/>
        </w:rPr>
        <w:t xml:space="preserve">or UE supporting both FD-FDD and HD-FDD </w:t>
      </w:r>
      <w:r w:rsidR="00C277AE">
        <w:rPr>
          <w:rFonts w:eastAsia="等线"/>
          <w:lang w:val="en-US" w:eastAsia="zh-CN"/>
        </w:rPr>
        <w:t>its architecture is actually based on FD-FDD where duplexer is implemented. When this UE is sc</w:t>
      </w:r>
      <w:r w:rsidR="000C05FD">
        <w:rPr>
          <w:rFonts w:eastAsia="等线"/>
          <w:lang w:val="en-US" w:eastAsia="zh-CN"/>
        </w:rPr>
        <w:t xml:space="preserve">heduled to work under HD-FDD it probably needs more relaxation comparing to UE with only HD-FDD mode. </w:t>
      </w:r>
      <w:r w:rsidR="004F749E">
        <w:rPr>
          <w:rFonts w:eastAsia="等线"/>
          <w:lang w:val="en-US" w:eastAsia="zh-CN"/>
        </w:rPr>
        <w:t>Regarding the values for HD-FDD only mode, probably reuse the value 1.7dB in LTE MTC [2] is a straight forward way</w:t>
      </w:r>
      <w:r w:rsidR="001455F3">
        <w:rPr>
          <w:rFonts w:eastAsia="等线"/>
          <w:lang w:val="en-US" w:eastAsia="zh-CN"/>
        </w:rPr>
        <w:t xml:space="preserve"> to save the discussion</w:t>
      </w:r>
      <w:r w:rsidR="004F749E">
        <w:rPr>
          <w:rFonts w:eastAsia="等线"/>
          <w:lang w:val="en-US" w:eastAsia="zh-CN"/>
        </w:rPr>
        <w:t>.</w:t>
      </w:r>
    </w:p>
    <w:p w:rsidR="00711F6C" w:rsidRDefault="00711F6C" w:rsidP="00711F6C">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Reuse 1.7dB relaxation for HD-FDD only UE.</w:t>
      </w:r>
    </w:p>
    <w:p w:rsidR="00E3152A" w:rsidRPr="00711F6C" w:rsidRDefault="00E3152A" w:rsidP="00105511">
      <w:pPr>
        <w:tabs>
          <w:tab w:val="left" w:pos="5103"/>
        </w:tabs>
        <w:spacing w:after="120"/>
        <w:rPr>
          <w:rFonts w:eastAsia="等线"/>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F857C4">
      <w:pPr>
        <w:overflowPunct w:val="0"/>
        <w:autoSpaceDE w:val="0"/>
        <w:autoSpaceDN w:val="0"/>
        <w:adjustRightInd w:val="0"/>
        <w:spacing w:after="180"/>
        <w:textAlignment w:val="baseline"/>
      </w:pPr>
      <w:r>
        <w:rPr>
          <w:rFonts w:hint="eastAsia"/>
        </w:rPr>
        <w:t>[1]</w:t>
      </w:r>
      <w:r>
        <w:t xml:space="preserve"> </w:t>
      </w:r>
      <w:r w:rsidR="00AB02A2" w:rsidRPr="00AB02A2">
        <w:t>RP-212634</w:t>
      </w:r>
      <w:r w:rsidR="00AB02A2">
        <w:t xml:space="preserve">, </w:t>
      </w:r>
      <w:r w:rsidR="00AB02A2" w:rsidRPr="00AB02A2">
        <w:t>summary for discussion [93e-16-RedCap-WI]</w:t>
      </w:r>
      <w:r w:rsidR="00C2435C">
        <w:t>, RAN#93e</w:t>
      </w:r>
    </w:p>
    <w:p w:rsidR="00BA401F" w:rsidRPr="004F749E" w:rsidRDefault="004F749E" w:rsidP="004F749E">
      <w:pPr>
        <w:overflowPunct w:val="0"/>
        <w:autoSpaceDE w:val="0"/>
        <w:autoSpaceDN w:val="0"/>
        <w:adjustRightInd w:val="0"/>
        <w:spacing w:after="180"/>
        <w:rPr>
          <w:rFonts w:eastAsia="宋体"/>
          <w:lang w:val="en-US" w:eastAsia="zh-CN"/>
        </w:rPr>
      </w:pPr>
      <w:r>
        <w:rPr>
          <w:rFonts w:eastAsia="宋体" w:hint="eastAsia"/>
          <w:lang w:eastAsia="zh-CN"/>
        </w:rPr>
        <w:t>[</w:t>
      </w:r>
      <w:r>
        <w:rPr>
          <w:rFonts w:eastAsia="宋体"/>
          <w:lang w:eastAsia="zh-CN"/>
        </w:rPr>
        <w:t xml:space="preserve">2] </w:t>
      </w:r>
      <w:r w:rsidRPr="004F749E">
        <w:rPr>
          <w:rFonts w:eastAsia="宋体"/>
          <w:lang w:val="en-US" w:eastAsia="zh-CN"/>
        </w:rPr>
        <w:t>R4-147954</w:t>
      </w:r>
      <w:r>
        <w:rPr>
          <w:rFonts w:eastAsia="宋体" w:hint="eastAsia"/>
          <w:lang w:val="en-US" w:eastAsia="zh-CN"/>
        </w:rPr>
        <w:t>,</w:t>
      </w:r>
      <w:r>
        <w:rPr>
          <w:rFonts w:eastAsia="宋体"/>
          <w:lang w:val="en-US" w:eastAsia="zh-CN"/>
        </w:rPr>
        <w:t xml:space="preserve"> </w:t>
      </w:r>
      <w:r w:rsidRPr="004F749E">
        <w:rPr>
          <w:rFonts w:eastAsia="宋体"/>
          <w:lang w:eastAsia="zh-CN"/>
        </w:rPr>
        <w:t>Reference sensitivity WF for MTC</w:t>
      </w:r>
      <w:r>
        <w:rPr>
          <w:rFonts w:eastAsia="宋体"/>
          <w:lang w:eastAsia="zh-CN"/>
        </w:rPr>
        <w:t>, RAN4#73</w:t>
      </w:r>
    </w:p>
    <w:sectPr w:rsidR="00BA401F" w:rsidRPr="004F749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51F" w:rsidRDefault="000D051F">
      <w:r>
        <w:separator/>
      </w:r>
    </w:p>
  </w:endnote>
  <w:endnote w:type="continuationSeparator" w:id="0">
    <w:p w:rsidR="000D051F" w:rsidRDefault="000D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Gulim">
    <w:altName w:val="굴림"/>
    <w:panose1 w:val="020B0600000101010101"/>
    <w:charset w:val="81"/>
    <w:family w:val="roman"/>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00000000" w:usb1="69D77CFB" w:usb2="00000030" w:usb3="00000000" w:csb0="4008009F" w:csb1="DFD70000"/>
  </w:font>
  <w:font w:name="MS Mincho">
    <w:altName w:val="ＭＳ 明朝"/>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51F" w:rsidRDefault="000D051F">
      <w:r>
        <w:separator/>
      </w:r>
    </w:p>
  </w:footnote>
  <w:footnote w:type="continuationSeparator" w:id="0">
    <w:p w:rsidR="000D051F" w:rsidRDefault="000D0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6754B"/>
    <w:multiLevelType w:val="hybridMultilevel"/>
    <w:tmpl w:val="3D52E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5D0D2C"/>
    <w:multiLevelType w:val="hybridMultilevel"/>
    <w:tmpl w:val="B602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2"/>
  </w:num>
  <w:num w:numId="4">
    <w:abstractNumId w:val="10"/>
  </w:num>
  <w:num w:numId="5">
    <w:abstractNumId w:val="23"/>
  </w:num>
  <w:num w:numId="6">
    <w:abstractNumId w:val="8"/>
  </w:num>
  <w:num w:numId="7">
    <w:abstractNumId w:val="31"/>
  </w:num>
  <w:num w:numId="8">
    <w:abstractNumId w:val="4"/>
  </w:num>
  <w:num w:numId="9">
    <w:abstractNumId w:val="26"/>
  </w:num>
  <w:num w:numId="10">
    <w:abstractNumId w:val="14"/>
  </w:num>
  <w:num w:numId="11">
    <w:abstractNumId w:val="30"/>
  </w:num>
  <w:num w:numId="12">
    <w:abstractNumId w:val="6"/>
  </w:num>
  <w:num w:numId="13">
    <w:abstractNumId w:val="27"/>
  </w:num>
  <w:num w:numId="14">
    <w:abstractNumId w:val="18"/>
  </w:num>
  <w:num w:numId="15">
    <w:abstractNumId w:val="13"/>
  </w:num>
  <w:num w:numId="16">
    <w:abstractNumId w:val="2"/>
  </w:num>
  <w:num w:numId="17">
    <w:abstractNumId w:val="1"/>
  </w:num>
  <w:num w:numId="18">
    <w:abstractNumId w:val="7"/>
  </w:num>
  <w:num w:numId="19">
    <w:abstractNumId w:val="28"/>
  </w:num>
  <w:num w:numId="20">
    <w:abstractNumId w:val="24"/>
  </w:num>
  <w:num w:numId="21">
    <w:abstractNumId w:val="15"/>
  </w:num>
  <w:num w:numId="22">
    <w:abstractNumId w:val="29"/>
  </w:num>
  <w:num w:numId="23">
    <w:abstractNumId w:val="25"/>
  </w:num>
  <w:num w:numId="24">
    <w:abstractNumId w:val="3"/>
  </w:num>
  <w:num w:numId="25">
    <w:abstractNumId w:val="12"/>
  </w:num>
  <w:num w:numId="26">
    <w:abstractNumId w:val="5"/>
  </w:num>
  <w:num w:numId="27">
    <w:abstractNumId w:val="0"/>
  </w:num>
  <w:num w:numId="28">
    <w:abstractNumId w:val="22"/>
  </w:num>
  <w:num w:numId="29">
    <w:abstractNumId w:val="17"/>
  </w:num>
  <w:num w:numId="30">
    <w:abstractNumId w:val="21"/>
  </w:num>
  <w:num w:numId="31">
    <w:abstractNumId w:val="19"/>
  </w:num>
  <w:num w:numId="32">
    <w:abstractNumId w:val="16"/>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2DB"/>
    <w:rsid w:val="0006072E"/>
    <w:rsid w:val="0006081C"/>
    <w:rsid w:val="00061143"/>
    <w:rsid w:val="000612DB"/>
    <w:rsid w:val="000615D4"/>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5FD"/>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051F"/>
    <w:rsid w:val="000D11EB"/>
    <w:rsid w:val="000D1944"/>
    <w:rsid w:val="000D2382"/>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419E"/>
    <w:rsid w:val="000E460D"/>
    <w:rsid w:val="000E4E4B"/>
    <w:rsid w:val="000E5827"/>
    <w:rsid w:val="000E5D87"/>
    <w:rsid w:val="000E650E"/>
    <w:rsid w:val="000E79DE"/>
    <w:rsid w:val="000E7C52"/>
    <w:rsid w:val="000F06FC"/>
    <w:rsid w:val="000F140A"/>
    <w:rsid w:val="000F152A"/>
    <w:rsid w:val="000F2749"/>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511"/>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54D"/>
    <w:rsid w:val="0014466A"/>
    <w:rsid w:val="001448FA"/>
    <w:rsid w:val="00144A1C"/>
    <w:rsid w:val="001452D1"/>
    <w:rsid w:val="00145508"/>
    <w:rsid w:val="001455F3"/>
    <w:rsid w:val="00145F74"/>
    <w:rsid w:val="00147AF7"/>
    <w:rsid w:val="00147F9F"/>
    <w:rsid w:val="0015008D"/>
    <w:rsid w:val="00150A35"/>
    <w:rsid w:val="001523A2"/>
    <w:rsid w:val="00152563"/>
    <w:rsid w:val="00154931"/>
    <w:rsid w:val="00155414"/>
    <w:rsid w:val="00155491"/>
    <w:rsid w:val="00156374"/>
    <w:rsid w:val="001565CF"/>
    <w:rsid w:val="001566FB"/>
    <w:rsid w:val="001567C7"/>
    <w:rsid w:val="001576A8"/>
    <w:rsid w:val="001576CD"/>
    <w:rsid w:val="001578CC"/>
    <w:rsid w:val="00157967"/>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0D25"/>
    <w:rsid w:val="00192506"/>
    <w:rsid w:val="00192F6A"/>
    <w:rsid w:val="0019355E"/>
    <w:rsid w:val="001935E7"/>
    <w:rsid w:val="00193C69"/>
    <w:rsid w:val="001940AC"/>
    <w:rsid w:val="001942ED"/>
    <w:rsid w:val="00194CEA"/>
    <w:rsid w:val="00194F8E"/>
    <w:rsid w:val="00194FB1"/>
    <w:rsid w:val="001950C2"/>
    <w:rsid w:val="001958F1"/>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52"/>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31E"/>
    <w:rsid w:val="001C7C1D"/>
    <w:rsid w:val="001C7E47"/>
    <w:rsid w:val="001D03BF"/>
    <w:rsid w:val="001D04FF"/>
    <w:rsid w:val="001D1B80"/>
    <w:rsid w:val="001D1BA7"/>
    <w:rsid w:val="001D1F79"/>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D37"/>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6A35"/>
    <w:rsid w:val="002176C4"/>
    <w:rsid w:val="00217F3B"/>
    <w:rsid w:val="00220112"/>
    <w:rsid w:val="0022022D"/>
    <w:rsid w:val="0022040E"/>
    <w:rsid w:val="00220A03"/>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C16"/>
    <w:rsid w:val="00270D07"/>
    <w:rsid w:val="00270E59"/>
    <w:rsid w:val="002713D0"/>
    <w:rsid w:val="00271654"/>
    <w:rsid w:val="0027221F"/>
    <w:rsid w:val="00272990"/>
    <w:rsid w:val="0027299F"/>
    <w:rsid w:val="002731C5"/>
    <w:rsid w:val="00273BE3"/>
    <w:rsid w:val="00273F81"/>
    <w:rsid w:val="00274A91"/>
    <w:rsid w:val="00275178"/>
    <w:rsid w:val="002761C6"/>
    <w:rsid w:val="002761FD"/>
    <w:rsid w:val="00280F86"/>
    <w:rsid w:val="00281DE1"/>
    <w:rsid w:val="00281E47"/>
    <w:rsid w:val="00282C9D"/>
    <w:rsid w:val="002837EF"/>
    <w:rsid w:val="00285BB8"/>
    <w:rsid w:val="00286342"/>
    <w:rsid w:val="0028688D"/>
    <w:rsid w:val="00286CEB"/>
    <w:rsid w:val="002875A3"/>
    <w:rsid w:val="00290D3F"/>
    <w:rsid w:val="002911E0"/>
    <w:rsid w:val="0029153A"/>
    <w:rsid w:val="00292339"/>
    <w:rsid w:val="00292749"/>
    <w:rsid w:val="00292A36"/>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CF3"/>
    <w:rsid w:val="002C1401"/>
    <w:rsid w:val="002C151F"/>
    <w:rsid w:val="002C1810"/>
    <w:rsid w:val="002C233C"/>
    <w:rsid w:val="002C2E65"/>
    <w:rsid w:val="002C303F"/>
    <w:rsid w:val="002C355D"/>
    <w:rsid w:val="002C60F3"/>
    <w:rsid w:val="002C6F4F"/>
    <w:rsid w:val="002C7077"/>
    <w:rsid w:val="002C736D"/>
    <w:rsid w:val="002C74DD"/>
    <w:rsid w:val="002C781B"/>
    <w:rsid w:val="002D01E2"/>
    <w:rsid w:val="002D1EC9"/>
    <w:rsid w:val="002D2E37"/>
    <w:rsid w:val="002D3576"/>
    <w:rsid w:val="002D37A7"/>
    <w:rsid w:val="002D3CB0"/>
    <w:rsid w:val="002D3E8E"/>
    <w:rsid w:val="002D4F5D"/>
    <w:rsid w:val="002D593B"/>
    <w:rsid w:val="002D5B2C"/>
    <w:rsid w:val="002D6461"/>
    <w:rsid w:val="002D6498"/>
    <w:rsid w:val="002D76F1"/>
    <w:rsid w:val="002D7CFE"/>
    <w:rsid w:val="002D7F8B"/>
    <w:rsid w:val="002E032E"/>
    <w:rsid w:val="002E0671"/>
    <w:rsid w:val="002E07D4"/>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6408"/>
    <w:rsid w:val="0030683D"/>
    <w:rsid w:val="00306BDB"/>
    <w:rsid w:val="00306CD1"/>
    <w:rsid w:val="00306F6B"/>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1F34"/>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5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08AE"/>
    <w:rsid w:val="00381DC5"/>
    <w:rsid w:val="003823CA"/>
    <w:rsid w:val="00382BAD"/>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6AF4"/>
    <w:rsid w:val="003D700A"/>
    <w:rsid w:val="003E07A9"/>
    <w:rsid w:val="003E10B4"/>
    <w:rsid w:val="003E1427"/>
    <w:rsid w:val="003E1F2C"/>
    <w:rsid w:val="003E27E0"/>
    <w:rsid w:val="003E3D38"/>
    <w:rsid w:val="003E3EBA"/>
    <w:rsid w:val="003E4182"/>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E70"/>
    <w:rsid w:val="003F73A4"/>
    <w:rsid w:val="003F78ED"/>
    <w:rsid w:val="003F78F1"/>
    <w:rsid w:val="004012CF"/>
    <w:rsid w:val="00401B56"/>
    <w:rsid w:val="0040225A"/>
    <w:rsid w:val="00404E00"/>
    <w:rsid w:val="0040555B"/>
    <w:rsid w:val="00405874"/>
    <w:rsid w:val="004058DC"/>
    <w:rsid w:val="00405DF2"/>
    <w:rsid w:val="0040601A"/>
    <w:rsid w:val="00406077"/>
    <w:rsid w:val="00407419"/>
    <w:rsid w:val="0041056F"/>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13FF"/>
    <w:rsid w:val="00461A1D"/>
    <w:rsid w:val="00461CC2"/>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FD"/>
    <w:rsid w:val="00477878"/>
    <w:rsid w:val="00477B5A"/>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B31"/>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74FB"/>
    <w:rsid w:val="004C02D5"/>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49E"/>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7CA"/>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80B8A"/>
    <w:rsid w:val="00580C39"/>
    <w:rsid w:val="00580F9B"/>
    <w:rsid w:val="00581D0F"/>
    <w:rsid w:val="0058268C"/>
    <w:rsid w:val="00582824"/>
    <w:rsid w:val="00582D7A"/>
    <w:rsid w:val="00582F69"/>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381"/>
    <w:rsid w:val="00594EDE"/>
    <w:rsid w:val="00595447"/>
    <w:rsid w:val="005966BE"/>
    <w:rsid w:val="00596C39"/>
    <w:rsid w:val="005A2292"/>
    <w:rsid w:val="005A24EE"/>
    <w:rsid w:val="005A286F"/>
    <w:rsid w:val="005A2904"/>
    <w:rsid w:val="005A2B5E"/>
    <w:rsid w:val="005A31EA"/>
    <w:rsid w:val="005A3740"/>
    <w:rsid w:val="005A397A"/>
    <w:rsid w:val="005A3E57"/>
    <w:rsid w:val="005A4335"/>
    <w:rsid w:val="005A4401"/>
    <w:rsid w:val="005A4C9F"/>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2C0"/>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C07"/>
    <w:rsid w:val="00644D60"/>
    <w:rsid w:val="0064533B"/>
    <w:rsid w:val="00645927"/>
    <w:rsid w:val="00645A26"/>
    <w:rsid w:val="00645F41"/>
    <w:rsid w:val="006463EB"/>
    <w:rsid w:val="00646F1A"/>
    <w:rsid w:val="00647533"/>
    <w:rsid w:val="00650A23"/>
    <w:rsid w:val="00650FE4"/>
    <w:rsid w:val="00651295"/>
    <w:rsid w:val="006529B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2ACE"/>
    <w:rsid w:val="00694D8E"/>
    <w:rsid w:val="006954DD"/>
    <w:rsid w:val="006956A3"/>
    <w:rsid w:val="00696044"/>
    <w:rsid w:val="006961E7"/>
    <w:rsid w:val="0069620F"/>
    <w:rsid w:val="006964CF"/>
    <w:rsid w:val="00696E6F"/>
    <w:rsid w:val="00697322"/>
    <w:rsid w:val="006A088D"/>
    <w:rsid w:val="006A0EA9"/>
    <w:rsid w:val="006A124B"/>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3BF"/>
    <w:rsid w:val="007067AA"/>
    <w:rsid w:val="00706BF0"/>
    <w:rsid w:val="007076F3"/>
    <w:rsid w:val="0070799A"/>
    <w:rsid w:val="00710005"/>
    <w:rsid w:val="00711F6C"/>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5F4"/>
    <w:rsid w:val="00730810"/>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9F9"/>
    <w:rsid w:val="00765D41"/>
    <w:rsid w:val="00766326"/>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04F"/>
    <w:rsid w:val="0078228C"/>
    <w:rsid w:val="00782618"/>
    <w:rsid w:val="00782C5F"/>
    <w:rsid w:val="007834EC"/>
    <w:rsid w:val="007838D7"/>
    <w:rsid w:val="007846B8"/>
    <w:rsid w:val="00784C6F"/>
    <w:rsid w:val="00785798"/>
    <w:rsid w:val="0078625A"/>
    <w:rsid w:val="0078648D"/>
    <w:rsid w:val="007867EF"/>
    <w:rsid w:val="00786904"/>
    <w:rsid w:val="00786E51"/>
    <w:rsid w:val="00791C59"/>
    <w:rsid w:val="00791D00"/>
    <w:rsid w:val="00791E58"/>
    <w:rsid w:val="00792591"/>
    <w:rsid w:val="0079359C"/>
    <w:rsid w:val="00793AF3"/>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A7E82"/>
    <w:rsid w:val="007B05F7"/>
    <w:rsid w:val="007B09E3"/>
    <w:rsid w:val="007B0AA0"/>
    <w:rsid w:val="007B19C4"/>
    <w:rsid w:val="007B2401"/>
    <w:rsid w:val="007B2404"/>
    <w:rsid w:val="007B2AD2"/>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77C"/>
    <w:rsid w:val="007D0BFB"/>
    <w:rsid w:val="007D147B"/>
    <w:rsid w:val="007D4600"/>
    <w:rsid w:val="007D4AFD"/>
    <w:rsid w:val="007D4BDC"/>
    <w:rsid w:val="007D4F74"/>
    <w:rsid w:val="007D5275"/>
    <w:rsid w:val="007D5617"/>
    <w:rsid w:val="007D5812"/>
    <w:rsid w:val="007D5BDD"/>
    <w:rsid w:val="007D5CEC"/>
    <w:rsid w:val="007D6686"/>
    <w:rsid w:val="007D6B82"/>
    <w:rsid w:val="007D7934"/>
    <w:rsid w:val="007E0B2F"/>
    <w:rsid w:val="007E106A"/>
    <w:rsid w:val="007E213C"/>
    <w:rsid w:val="007E3D95"/>
    <w:rsid w:val="007E430A"/>
    <w:rsid w:val="007F030F"/>
    <w:rsid w:val="007F16AE"/>
    <w:rsid w:val="007F1B11"/>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79F9"/>
    <w:rsid w:val="0083098A"/>
    <w:rsid w:val="008309CC"/>
    <w:rsid w:val="0083163F"/>
    <w:rsid w:val="00831ABB"/>
    <w:rsid w:val="00831CFB"/>
    <w:rsid w:val="0083223B"/>
    <w:rsid w:val="008323B4"/>
    <w:rsid w:val="00833116"/>
    <w:rsid w:val="00833972"/>
    <w:rsid w:val="0083478F"/>
    <w:rsid w:val="00834B63"/>
    <w:rsid w:val="008363BD"/>
    <w:rsid w:val="00836A46"/>
    <w:rsid w:val="00836B80"/>
    <w:rsid w:val="00837635"/>
    <w:rsid w:val="00837C01"/>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369"/>
    <w:rsid w:val="00862781"/>
    <w:rsid w:val="008629CA"/>
    <w:rsid w:val="00862AD1"/>
    <w:rsid w:val="00862B7C"/>
    <w:rsid w:val="00862D1E"/>
    <w:rsid w:val="00864D74"/>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08D"/>
    <w:rsid w:val="00893546"/>
    <w:rsid w:val="00894135"/>
    <w:rsid w:val="00894593"/>
    <w:rsid w:val="008962BC"/>
    <w:rsid w:val="00896A93"/>
    <w:rsid w:val="00896C6F"/>
    <w:rsid w:val="00897110"/>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1BB9"/>
    <w:rsid w:val="008B2828"/>
    <w:rsid w:val="008B4902"/>
    <w:rsid w:val="008B4A95"/>
    <w:rsid w:val="008B51C7"/>
    <w:rsid w:val="008B534A"/>
    <w:rsid w:val="008B5861"/>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5E6A"/>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F48"/>
    <w:rsid w:val="00900026"/>
    <w:rsid w:val="00900BD7"/>
    <w:rsid w:val="00900C64"/>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809"/>
    <w:rsid w:val="00925BE7"/>
    <w:rsid w:val="00930518"/>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0FFF"/>
    <w:rsid w:val="00971586"/>
    <w:rsid w:val="00971637"/>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A66"/>
    <w:rsid w:val="00985B05"/>
    <w:rsid w:val="00985B09"/>
    <w:rsid w:val="00985F83"/>
    <w:rsid w:val="0098640B"/>
    <w:rsid w:val="009869C5"/>
    <w:rsid w:val="00987533"/>
    <w:rsid w:val="00987687"/>
    <w:rsid w:val="00990790"/>
    <w:rsid w:val="00990FE6"/>
    <w:rsid w:val="00991017"/>
    <w:rsid w:val="00992714"/>
    <w:rsid w:val="00992C83"/>
    <w:rsid w:val="009933AE"/>
    <w:rsid w:val="00993758"/>
    <w:rsid w:val="00993CE5"/>
    <w:rsid w:val="00994F1C"/>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025"/>
    <w:rsid w:val="009A6C32"/>
    <w:rsid w:val="009A72D7"/>
    <w:rsid w:val="009A7D8E"/>
    <w:rsid w:val="009B17BA"/>
    <w:rsid w:val="009B1D75"/>
    <w:rsid w:val="009B27AA"/>
    <w:rsid w:val="009B3113"/>
    <w:rsid w:val="009B38E6"/>
    <w:rsid w:val="009B3BC0"/>
    <w:rsid w:val="009B4375"/>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36D"/>
    <w:rsid w:val="00A01577"/>
    <w:rsid w:val="00A02A2D"/>
    <w:rsid w:val="00A02D14"/>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1EE"/>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7B8F"/>
    <w:rsid w:val="00A67CB8"/>
    <w:rsid w:val="00A702F7"/>
    <w:rsid w:val="00A705E7"/>
    <w:rsid w:val="00A709B7"/>
    <w:rsid w:val="00A70C3B"/>
    <w:rsid w:val="00A70DE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4CF"/>
    <w:rsid w:val="00A8399C"/>
    <w:rsid w:val="00A85444"/>
    <w:rsid w:val="00A856E4"/>
    <w:rsid w:val="00A8677A"/>
    <w:rsid w:val="00A86B3C"/>
    <w:rsid w:val="00A90C1D"/>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96"/>
    <w:rsid w:val="00AB00A6"/>
    <w:rsid w:val="00AB02A2"/>
    <w:rsid w:val="00AB03E1"/>
    <w:rsid w:val="00AB065A"/>
    <w:rsid w:val="00AB09E2"/>
    <w:rsid w:val="00AB118E"/>
    <w:rsid w:val="00AB1B46"/>
    <w:rsid w:val="00AB22F7"/>
    <w:rsid w:val="00AB2564"/>
    <w:rsid w:val="00AB25E8"/>
    <w:rsid w:val="00AB2810"/>
    <w:rsid w:val="00AB2BE1"/>
    <w:rsid w:val="00AB3066"/>
    <w:rsid w:val="00AB333B"/>
    <w:rsid w:val="00AB441C"/>
    <w:rsid w:val="00AB5B04"/>
    <w:rsid w:val="00AB5EC7"/>
    <w:rsid w:val="00AB60C0"/>
    <w:rsid w:val="00AB61B2"/>
    <w:rsid w:val="00AB624E"/>
    <w:rsid w:val="00AB6289"/>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556"/>
    <w:rsid w:val="00AE3662"/>
    <w:rsid w:val="00AE38C0"/>
    <w:rsid w:val="00AE41F9"/>
    <w:rsid w:val="00AE5573"/>
    <w:rsid w:val="00AE5CB5"/>
    <w:rsid w:val="00AE7047"/>
    <w:rsid w:val="00AE75BC"/>
    <w:rsid w:val="00AE7C53"/>
    <w:rsid w:val="00AF10BC"/>
    <w:rsid w:val="00AF1BA7"/>
    <w:rsid w:val="00AF1D25"/>
    <w:rsid w:val="00AF1D8D"/>
    <w:rsid w:val="00AF2160"/>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7794"/>
    <w:rsid w:val="00B2003B"/>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261"/>
    <w:rsid w:val="00B6504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656"/>
    <w:rsid w:val="00B87A0F"/>
    <w:rsid w:val="00B87E55"/>
    <w:rsid w:val="00B90B97"/>
    <w:rsid w:val="00B90DB7"/>
    <w:rsid w:val="00B92867"/>
    <w:rsid w:val="00B92F53"/>
    <w:rsid w:val="00B930D5"/>
    <w:rsid w:val="00B93790"/>
    <w:rsid w:val="00B937A4"/>
    <w:rsid w:val="00B974B4"/>
    <w:rsid w:val="00B97964"/>
    <w:rsid w:val="00B9798E"/>
    <w:rsid w:val="00BA161D"/>
    <w:rsid w:val="00BA19C2"/>
    <w:rsid w:val="00BA21A4"/>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6D46"/>
    <w:rsid w:val="00BC7EB0"/>
    <w:rsid w:val="00BD1060"/>
    <w:rsid w:val="00BD2980"/>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313E"/>
    <w:rsid w:val="00BF4694"/>
    <w:rsid w:val="00BF5ABB"/>
    <w:rsid w:val="00BF5BAD"/>
    <w:rsid w:val="00BF6415"/>
    <w:rsid w:val="00BF647C"/>
    <w:rsid w:val="00BF66C9"/>
    <w:rsid w:val="00BF67FA"/>
    <w:rsid w:val="00BF6A7B"/>
    <w:rsid w:val="00BF6CB3"/>
    <w:rsid w:val="00BF759A"/>
    <w:rsid w:val="00BF7DA5"/>
    <w:rsid w:val="00C00E05"/>
    <w:rsid w:val="00C017DC"/>
    <w:rsid w:val="00C0273E"/>
    <w:rsid w:val="00C03FBB"/>
    <w:rsid w:val="00C04A59"/>
    <w:rsid w:val="00C04D2B"/>
    <w:rsid w:val="00C05208"/>
    <w:rsid w:val="00C056AC"/>
    <w:rsid w:val="00C058D5"/>
    <w:rsid w:val="00C05F53"/>
    <w:rsid w:val="00C0725F"/>
    <w:rsid w:val="00C07D07"/>
    <w:rsid w:val="00C11540"/>
    <w:rsid w:val="00C115F9"/>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35C"/>
    <w:rsid w:val="00C24A78"/>
    <w:rsid w:val="00C24F26"/>
    <w:rsid w:val="00C252B6"/>
    <w:rsid w:val="00C25317"/>
    <w:rsid w:val="00C253E0"/>
    <w:rsid w:val="00C25487"/>
    <w:rsid w:val="00C2556D"/>
    <w:rsid w:val="00C25590"/>
    <w:rsid w:val="00C25606"/>
    <w:rsid w:val="00C25E2F"/>
    <w:rsid w:val="00C26DC1"/>
    <w:rsid w:val="00C2721F"/>
    <w:rsid w:val="00C2747E"/>
    <w:rsid w:val="00C277AE"/>
    <w:rsid w:val="00C3056E"/>
    <w:rsid w:val="00C30B13"/>
    <w:rsid w:val="00C31A11"/>
    <w:rsid w:val="00C31B71"/>
    <w:rsid w:val="00C31D07"/>
    <w:rsid w:val="00C3228B"/>
    <w:rsid w:val="00C32FE6"/>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F4F"/>
    <w:rsid w:val="00C5702B"/>
    <w:rsid w:val="00C573B1"/>
    <w:rsid w:val="00C57CB5"/>
    <w:rsid w:val="00C57CF6"/>
    <w:rsid w:val="00C57F90"/>
    <w:rsid w:val="00C6078A"/>
    <w:rsid w:val="00C60A4E"/>
    <w:rsid w:val="00C617CE"/>
    <w:rsid w:val="00C61B0D"/>
    <w:rsid w:val="00C62370"/>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54D7"/>
    <w:rsid w:val="00C87C98"/>
    <w:rsid w:val="00C87E03"/>
    <w:rsid w:val="00C90552"/>
    <w:rsid w:val="00C908A8"/>
    <w:rsid w:val="00C90CA5"/>
    <w:rsid w:val="00C910C7"/>
    <w:rsid w:val="00C92496"/>
    <w:rsid w:val="00C92FF1"/>
    <w:rsid w:val="00C934EF"/>
    <w:rsid w:val="00C93D56"/>
    <w:rsid w:val="00C940CB"/>
    <w:rsid w:val="00C944A3"/>
    <w:rsid w:val="00C958CC"/>
    <w:rsid w:val="00C96EB4"/>
    <w:rsid w:val="00C9780C"/>
    <w:rsid w:val="00C97908"/>
    <w:rsid w:val="00C97D5B"/>
    <w:rsid w:val="00CA1D6A"/>
    <w:rsid w:val="00CA2195"/>
    <w:rsid w:val="00CA243A"/>
    <w:rsid w:val="00CA5628"/>
    <w:rsid w:val="00CA5822"/>
    <w:rsid w:val="00CA5A3E"/>
    <w:rsid w:val="00CA6155"/>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64D"/>
    <w:rsid w:val="00CE477F"/>
    <w:rsid w:val="00CE4A61"/>
    <w:rsid w:val="00CE562F"/>
    <w:rsid w:val="00CE5BBA"/>
    <w:rsid w:val="00CE5F7D"/>
    <w:rsid w:val="00CE5FE4"/>
    <w:rsid w:val="00CE6654"/>
    <w:rsid w:val="00CE7E61"/>
    <w:rsid w:val="00CF0319"/>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0630"/>
    <w:rsid w:val="00D21F8A"/>
    <w:rsid w:val="00D222C7"/>
    <w:rsid w:val="00D22547"/>
    <w:rsid w:val="00D2274A"/>
    <w:rsid w:val="00D22967"/>
    <w:rsid w:val="00D23CED"/>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13E1"/>
    <w:rsid w:val="00D52902"/>
    <w:rsid w:val="00D5313C"/>
    <w:rsid w:val="00D5334C"/>
    <w:rsid w:val="00D535E2"/>
    <w:rsid w:val="00D54BEB"/>
    <w:rsid w:val="00D566C3"/>
    <w:rsid w:val="00D5677A"/>
    <w:rsid w:val="00D575A5"/>
    <w:rsid w:val="00D604CA"/>
    <w:rsid w:val="00D610BD"/>
    <w:rsid w:val="00D61A71"/>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29C"/>
    <w:rsid w:val="00D7734F"/>
    <w:rsid w:val="00D77BB5"/>
    <w:rsid w:val="00D80371"/>
    <w:rsid w:val="00D8048C"/>
    <w:rsid w:val="00D80A61"/>
    <w:rsid w:val="00D80AA8"/>
    <w:rsid w:val="00D82287"/>
    <w:rsid w:val="00D832A1"/>
    <w:rsid w:val="00D83AA8"/>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58E"/>
    <w:rsid w:val="00DA772D"/>
    <w:rsid w:val="00DB08FD"/>
    <w:rsid w:val="00DB0DA0"/>
    <w:rsid w:val="00DB1046"/>
    <w:rsid w:val="00DB1330"/>
    <w:rsid w:val="00DB24AC"/>
    <w:rsid w:val="00DB26B6"/>
    <w:rsid w:val="00DB2C93"/>
    <w:rsid w:val="00DB4772"/>
    <w:rsid w:val="00DB47B5"/>
    <w:rsid w:val="00DB504D"/>
    <w:rsid w:val="00DB545B"/>
    <w:rsid w:val="00DB56A2"/>
    <w:rsid w:val="00DB5714"/>
    <w:rsid w:val="00DB58A0"/>
    <w:rsid w:val="00DB6BA9"/>
    <w:rsid w:val="00DB7301"/>
    <w:rsid w:val="00DB7809"/>
    <w:rsid w:val="00DB796C"/>
    <w:rsid w:val="00DB7A50"/>
    <w:rsid w:val="00DC02A5"/>
    <w:rsid w:val="00DC08C3"/>
    <w:rsid w:val="00DC15A4"/>
    <w:rsid w:val="00DC1720"/>
    <w:rsid w:val="00DC17F2"/>
    <w:rsid w:val="00DC1C94"/>
    <w:rsid w:val="00DC1D62"/>
    <w:rsid w:val="00DC1D77"/>
    <w:rsid w:val="00DC1ECA"/>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174"/>
    <w:rsid w:val="00E05890"/>
    <w:rsid w:val="00E05F8A"/>
    <w:rsid w:val="00E05FF3"/>
    <w:rsid w:val="00E0681F"/>
    <w:rsid w:val="00E068B8"/>
    <w:rsid w:val="00E06AFF"/>
    <w:rsid w:val="00E06FE5"/>
    <w:rsid w:val="00E0747A"/>
    <w:rsid w:val="00E10050"/>
    <w:rsid w:val="00E105E5"/>
    <w:rsid w:val="00E10EE1"/>
    <w:rsid w:val="00E1105C"/>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2A"/>
    <w:rsid w:val="00E315F0"/>
    <w:rsid w:val="00E31919"/>
    <w:rsid w:val="00E31CC7"/>
    <w:rsid w:val="00E31CCC"/>
    <w:rsid w:val="00E32248"/>
    <w:rsid w:val="00E32AAB"/>
    <w:rsid w:val="00E35AFB"/>
    <w:rsid w:val="00E35C2D"/>
    <w:rsid w:val="00E40D19"/>
    <w:rsid w:val="00E41CD1"/>
    <w:rsid w:val="00E4204C"/>
    <w:rsid w:val="00E429F0"/>
    <w:rsid w:val="00E42C33"/>
    <w:rsid w:val="00E42E70"/>
    <w:rsid w:val="00E43038"/>
    <w:rsid w:val="00E43403"/>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5E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758"/>
    <w:rsid w:val="00EC4943"/>
    <w:rsid w:val="00EC4A45"/>
    <w:rsid w:val="00EC4FA6"/>
    <w:rsid w:val="00EC5A4C"/>
    <w:rsid w:val="00EC643D"/>
    <w:rsid w:val="00EC6478"/>
    <w:rsid w:val="00EC65CF"/>
    <w:rsid w:val="00EC6742"/>
    <w:rsid w:val="00EC74E4"/>
    <w:rsid w:val="00ED0C57"/>
    <w:rsid w:val="00ED0D79"/>
    <w:rsid w:val="00ED303C"/>
    <w:rsid w:val="00ED38E0"/>
    <w:rsid w:val="00ED392F"/>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325"/>
    <w:rsid w:val="00EE355D"/>
    <w:rsid w:val="00EE5673"/>
    <w:rsid w:val="00EE5EF2"/>
    <w:rsid w:val="00EE6522"/>
    <w:rsid w:val="00EE68BC"/>
    <w:rsid w:val="00EE6AA3"/>
    <w:rsid w:val="00EE6B38"/>
    <w:rsid w:val="00EE6C8B"/>
    <w:rsid w:val="00EE7C99"/>
    <w:rsid w:val="00EF0BC3"/>
    <w:rsid w:val="00EF1E14"/>
    <w:rsid w:val="00EF1F27"/>
    <w:rsid w:val="00EF22A0"/>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393"/>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4EFC"/>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2F4"/>
    <w:rsid w:val="00F8547A"/>
    <w:rsid w:val="00F85684"/>
    <w:rsid w:val="00F857C4"/>
    <w:rsid w:val="00F85DC7"/>
    <w:rsid w:val="00F865A8"/>
    <w:rsid w:val="00F87244"/>
    <w:rsid w:val="00F87A67"/>
    <w:rsid w:val="00F9089D"/>
    <w:rsid w:val="00F90DB8"/>
    <w:rsid w:val="00F910FB"/>
    <w:rsid w:val="00F9226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614"/>
    <w:rsid w:val="00FB0773"/>
    <w:rsid w:val="00FB140D"/>
    <w:rsid w:val="00FB167C"/>
    <w:rsid w:val="00FB19D6"/>
    <w:rsid w:val="00FB1A00"/>
    <w:rsid w:val="00FB1A31"/>
    <w:rsid w:val="00FB225B"/>
    <w:rsid w:val="00FB2313"/>
    <w:rsid w:val="00FB2351"/>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82C"/>
    <w:rsid w:val="00FD5F7E"/>
    <w:rsid w:val="00FD6540"/>
    <w:rsid w:val="00FD73D0"/>
    <w:rsid w:val="00FD754B"/>
    <w:rsid w:val="00FD76A6"/>
    <w:rsid w:val="00FE0125"/>
    <w:rsid w:val="00FE14D3"/>
    <w:rsid w:val="00FE1BB6"/>
    <w:rsid w:val="00FE1FC4"/>
    <w:rsid w:val="00FE329F"/>
    <w:rsid w:val="00FE3BBA"/>
    <w:rsid w:val="00FE498C"/>
    <w:rsid w:val="00FE5653"/>
    <w:rsid w:val="00FE5AD1"/>
    <w:rsid w:val="00FE5E71"/>
    <w:rsid w:val="00FE6B9D"/>
    <w:rsid w:val="00FE7341"/>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29D4FB-BDF8-4DAD-8793-C24EF0A9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styleId="af6">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8">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9">
    <w:name w:val="Balloon Text"/>
    <w:basedOn w:val="a"/>
    <w:link w:val="afa"/>
    <w:rsid w:val="00AB2810"/>
    <w:rPr>
      <w:rFonts w:ascii="Malgun Gothic" w:hAnsi="Malgun Gothic"/>
      <w:sz w:val="18"/>
      <w:szCs w:val="18"/>
    </w:rPr>
  </w:style>
  <w:style w:type="character" w:customStyle="1" w:styleId="afa">
    <w:name w:val="批注框文本 字符"/>
    <w:link w:val="af9"/>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b">
    <w:name w:val="annotation subject"/>
    <w:basedOn w:val="a7"/>
    <w:next w:val="a7"/>
    <w:link w:val="afc"/>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c">
    <w:name w:val="批注主题 字符"/>
    <w:link w:val="afb"/>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d">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e">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f">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f"/>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0">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character" w:customStyle="1" w:styleId="af7">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locked/>
    <w:rsid w:val="006022C0"/>
    <w:rPr>
      <w:rFonts w:ascii="Malgun Gothic" w:hAnsi="Malgun Gothic"/>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0405027">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CFEA6-97FD-48AB-86E9-A79DE800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507</Words>
  <Characters>2893</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18</cp:revision>
  <cp:lastPrinted>2013-04-01T04:20:00Z</cp:lastPrinted>
  <dcterms:created xsi:type="dcterms:W3CDTF">2021-10-22T07:51:00Z</dcterms:created>
  <dcterms:modified xsi:type="dcterms:W3CDTF">2021-10-22T13:16:00Z</dcterms:modified>
</cp:coreProperties>
</file>